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120"/>
      </w:pPr>
      <w:r>
        <w:rPr>
          <w:b/>
          <w:sz w:val="36"/>
        </w:rPr>
        <w:t xml:space="preserve">AI-beleid — [bedrijfsnaam]</w:t>
      </w:r>
    </w:p>
    <w:p>
      <w:pPr>
        <w:spacing w:after="80"/>
      </w:pPr>
      <w:r>
        <w:rPr>
          <w:color w:val="4A5363"/>
          <w:sz w:val="20"/>
        </w:rPr>
        <w:t xml:space="preserve">Eén A4 met afspraken over AI op het werk. Vul de invulvelden in, schrap wat niet past en laat het door één persoon vaststellen. Dit is een voorbeeld en geen juridisch advies.</w:t>
      </w:r>
    </w:p>
    <w:tbl>
      <w:tblPr>
        <w:tblW w:w="9000" w:type="dxa"/>
        <w:tblBorders>
          <w:top w:val="single" w:sz="8" w:space="0" w:color="1B2433"/>
          <w:left w:val="single" w:sz="8" w:space="0" w:color="1B2433"/>
          <w:bottom w:val="single" w:sz="8" w:space="0" w:color="1B2433"/>
          <w:right w:val="single" w:sz="8" w:space="0" w:color="1B2433"/>
          <w:insideH w:val="single" w:sz="8" w:space="0" w:color="1B2433"/>
          <w:insideV w:val="single" w:sz="8" w:space="0" w:color="1B2433"/>
        </w:tblBorders>
      </w:tblPr>
      <w:tblGrid>
        <w:gridCol w:w="3300"/>
        <w:gridCol w:w="5700"/>
      </w:tblGrid>
      <w:tr>
        <w:tc>
          <w:tcPr>
            <w:tcW w:w="3300" w:type="dxa"/>
            <w:shd w:val="clear" w:color="auto" w:fill="F1E9DC"/>
          </w:tcPr>
          <w:p>
            <w:pPr>
              <w:spacing w:after="40"/>
            </w:pPr>
            <w:r>
              <w:rPr>
                <w:b/>
              </w:rPr>
              <w:t xml:space="preserve">Waarom en voor wie</w:t>
            </w:r>
          </w:p>
          <w:p>
            <w:pPr>
              <w:spacing w:after="40"/>
            </w:pPr>
            <w:r>
              <w:rPr>
                <w:color w:val="4A5363"/>
                <w:sz w:val="17"/>
              </w:rPr>
              <w:t xml:space="preserve">Eén zin waarom dit beleid er is, en voor wie het geldt: vaste mensen, maar ook inhuur, zzp'ers en stagiairs.</w:t>
            </w:r>
          </w:p>
        </w:tc>
        <w:tc>
          <w:tcPr>
            <w:tcW w:w="5700" w:type="dxa"/>
          </w:tcPr>
          <w:p>
            <w:pPr>
              <w:spacing w:after="40"/>
            </w:pPr>
            <w:r>
              <w:rPr>
                <w:sz w:val="20"/>
              </w:rPr>
              <w:t xml:space="preserve">Dit beleid zegt hoe we bij [bedrijfsnaam] met AI werken. Het geldt voor: …</w:t>
            </w:r>
          </w:p>
        </w:tc>
      </w:tr>
      <w:tr>
        <w:tc>
          <w:tcPr>
            <w:tcW w:w="3300" w:type="dxa"/>
            <w:shd w:val="clear" w:color="auto" w:fill="F1E9DC"/>
          </w:tcPr>
          <w:p>
            <w:pPr>
              <w:spacing w:after="40"/>
            </w:pPr>
            <w:r>
              <w:rPr>
                <w:b/>
              </w:rPr>
              <w:t xml:space="preserve">Welke AI-diensten mogen</w:t>
            </w:r>
          </w:p>
          <w:p>
            <w:pPr>
              <w:spacing w:after="40"/>
            </w:pPr>
            <w:r>
              <w:rPr>
                <w:color w:val="4A5363"/>
                <w:sz w:val="17"/>
              </w:rPr>
              <w:t xml:space="preserve">Een lijst: welke dienst, voor welk werk, met welk account. Alleen zakelijke accounts, geen privé-accounts voor werk.</w:t>
            </w:r>
          </w:p>
        </w:tc>
        <w:tc>
          <w:tcPr>
            <w:tcW w:w="5700" w:type="dxa"/>
          </w:tcPr>
          <w:p>
            <w:pPr>
              <w:spacing w:after="40"/>
            </w:pPr>
            <w:r>
              <w:rPr>
                <w:sz w:val="20"/>
              </w:rPr>
              <w:t xml:space="preserve">Zakelijke accounts: …</w:t>
            </w:r>
          </w:p>
          <w:p>
            <w:pPr>
              <w:spacing w:after="40"/>
            </w:pPr>
            <w:r>
              <w:rPr>
                <w:sz w:val="20"/>
              </w:rPr>
              <w:t xml:space="preserve">Voor: …</w:t>
            </w:r>
          </w:p>
          <w:p>
            <w:pPr>
              <w:spacing w:after="40"/>
            </w:pPr>
            <w:r>
              <w:rPr>
                <w:sz w:val="20"/>
              </w:rPr>
              <w:t xml:space="preserve">Privé-accounts gebruiken we niet voor werk.</w:t>
            </w:r>
          </w:p>
        </w:tc>
      </w:tr>
      <w:tr>
        <w:tc>
          <w:tcPr>
            <w:tcW w:w="3300" w:type="dxa"/>
            <w:shd w:val="clear" w:color="auto" w:fill="F1E9DC"/>
          </w:tcPr>
          <w:p>
            <w:pPr>
              <w:spacing w:after="40"/>
            </w:pPr>
            <w:r>
              <w:rPr>
                <w:b/>
              </w:rPr>
              <w:t xml:space="preserve">Welke gegevens erin mogen</w:t>
            </w:r>
          </w:p>
          <w:p>
            <w:pPr>
              <w:spacing w:after="40"/>
            </w:pPr>
            <w:r>
              <w:rPr>
                <w:color w:val="4A5363"/>
                <w:sz w:val="17"/>
              </w:rPr>
              <w:t xml:space="preserve">Drie niveaus: vrij, alleen in een zakelijke dienst, en nooit. Ze staan hier al ingevuld; pas ze aan jouw bedrijf aan.</w:t>
            </w:r>
          </w:p>
        </w:tc>
        <w:tc>
          <w:tcPr>
            <w:tcW w:w="5700" w:type="dxa"/>
          </w:tcPr>
          <w:p>
            <w:pPr>
              <w:spacing w:after="40"/>
            </w:pPr>
            <w:r>
              <w:rPr>
                <w:sz w:val="20"/>
              </w:rPr>
              <w:t xml:space="preserve">Niveau 1: vrij: Tekst zonder persoonsgegevens en zonder bedrijfsgeheimen. Een eerste opzet van een mail, een samenvatting van een openbare tekst, ideeën, een vertaling van een algemene tekst. Mag in elke dienst op de lijst.</w:t>
            </w:r>
          </w:p>
          <w:p>
            <w:pPr>
              <w:spacing w:after="40"/>
            </w:pPr>
            <w:r>
              <w:rPr>
                <w:sz w:val="20"/>
              </w:rPr>
              <w:t xml:space="preserve">Niveau 2: alleen zakelijk: Gegevens van klanten of collega's die je kunt herkennen, zoals naam, mailadres en telefoonnummer. Ook bedrijfsgeheimen, zoals offertes en inkoopprijzen. Alleen in een zakelijke dienst met verwerkersovereenkomst, en alleen als het in een vastgelegde werkwijze staat. Liever namen en nummers weglaten.</w:t>
            </w:r>
          </w:p>
          <w:p>
            <w:pPr>
              <w:spacing w:after="40"/>
            </w:pPr>
            <w:r>
              <w:rPr>
                <w:sz w:val="20"/>
              </w:rPr>
              <w:t xml:space="preserve">Niveau 3: nooit: Gezondheidsgegevens, zoals medische informatie over een klant of medewerker. BSN, paspoort- of rijbewijsnummers, bankrekeningnummers. Hele klantdossiers of mailwisselingen “om even samen te vatten”. Gegevens over kinderen. Wachtwoorden, inlogcodes en sleutels.</w:t>
            </w:r>
          </w:p>
        </w:tc>
      </w:tr>
      <w:tr>
        <w:tc>
          <w:tcPr>
            <w:tcW w:w="3300" w:type="dxa"/>
            <w:shd w:val="clear" w:color="auto" w:fill="F1E9DC"/>
          </w:tcPr>
          <w:p>
            <w:pPr>
              <w:spacing w:after="40"/>
            </w:pPr>
            <w:r>
              <w:rPr>
                <w:b/>
              </w:rPr>
              <w:t xml:space="preserve">Een mens kijkt na</w:t>
            </w:r>
          </w:p>
          <w:p>
            <w:pPr>
              <w:spacing w:after="40"/>
            </w:pPr>
            <w:r>
              <w:rPr>
                <w:color w:val="4A5363"/>
                <w:sz w:val="17"/>
              </w:rPr>
              <w:t xml:space="preserve">Wat AI schrijft of uitrekent, leest iemand na voordat het naar een klant gaat. Wat zeg je als een klant vraagt of je AI gebruikt?</w:t>
            </w:r>
          </w:p>
        </w:tc>
        <w:tc>
          <w:tcPr>
            <w:tcW w:w="5700" w:type="dxa"/>
          </w:tcPr>
          <w:p>
            <w:pPr>
              <w:spacing w:after="40"/>
            </w:pPr>
            <w:r>
              <w:rPr>
                <w:sz w:val="20"/>
              </w:rPr>
              <w:t xml:space="preserve"/>
            </w:r>
          </w:p>
          <w:p>
            <w:pPr>
              <w:spacing w:after="40"/>
            </w:pPr>
            <w:r>
              <w:rPr>
                <w:sz w:val="20"/>
              </w:rPr>
              <w:t xml:space="preserve"/>
            </w:r>
          </w:p>
        </w:tc>
      </w:tr>
      <w:tr>
        <w:tc>
          <w:tcPr>
            <w:tcW w:w="3300" w:type="dxa"/>
            <w:shd w:val="clear" w:color="auto" w:fill="F1E9DC"/>
          </w:tcPr>
          <w:p>
            <w:pPr>
              <w:spacing w:after="40"/>
            </w:pPr>
            <w:r>
              <w:rPr>
                <w:b/>
              </w:rPr>
              <w:t xml:space="preserve">Wie beslist</w:t>
            </w:r>
          </w:p>
          <w:p>
            <w:pPr>
              <w:spacing w:after="40"/>
            </w:pPr>
            <w:r>
              <w:rPr>
                <w:color w:val="4A5363"/>
                <w:sz w:val="17"/>
              </w:rPr>
              <w:t xml:space="preserve">Eén eigenaar en een vervanger. Wie keurt een nieuwe dienst goed? Bij wie ga je met een vraag of twijfel?</w:t>
            </w:r>
          </w:p>
        </w:tc>
        <w:tc>
          <w:tcPr>
            <w:tcW w:w="5700" w:type="dxa"/>
          </w:tcPr>
          <w:p>
            <w:pPr>
              <w:spacing w:after="40"/>
            </w:pPr>
            <w:r>
              <w:rPr>
                <w:sz w:val="20"/>
              </w:rPr>
              <w:t xml:space="preserve">Eigenaar: …   Vervanger: …</w:t>
            </w:r>
          </w:p>
          <w:p>
            <w:pPr>
              <w:spacing w:after="40"/>
            </w:pPr>
            <w:r>
              <w:rPr>
                <w:sz w:val="20"/>
              </w:rPr>
              <w:t xml:space="preserve">Nieuwe AI-diensten keurt goed: …</w:t>
            </w:r>
          </w:p>
        </w:tc>
      </w:tr>
      <w:tr>
        <w:tc>
          <w:tcPr>
            <w:tcW w:w="3300" w:type="dxa"/>
            <w:shd w:val="clear" w:color="auto" w:fill="F1E9DC"/>
          </w:tcPr>
          <w:p>
            <w:pPr>
              <w:spacing w:after="40"/>
            </w:pPr>
            <w:r>
              <w:rPr>
                <w:b/>
              </w:rPr>
              <w:t xml:space="preserve">Leren (AI-geletterdheid)</w:t>
            </w:r>
          </w:p>
          <w:p>
            <w:pPr>
              <w:spacing w:after="40"/>
            </w:pPr>
            <w:r>
              <w:rPr>
                <w:color w:val="4A5363"/>
                <w:sz w:val="17"/>
              </w:rPr>
              <w:t xml:space="preserve">Wie krijgt welke uitleg, wanneer, en waar leg je vast dat dat gebeurd is?</w:t>
            </w:r>
          </w:p>
        </w:tc>
        <w:tc>
          <w:tcPr>
            <w:tcW w:w="5700" w:type="dxa"/>
          </w:tcPr>
          <w:p>
            <w:pPr>
              <w:spacing w:after="40"/>
            </w:pPr>
            <w:r>
              <w:rPr>
                <w:sz w:val="20"/>
              </w:rPr>
              <w:t xml:space="preserve"/>
            </w:r>
          </w:p>
          <w:p>
            <w:pPr>
              <w:spacing w:after="40"/>
            </w:pPr>
            <w:r>
              <w:rPr>
                <w:sz w:val="20"/>
              </w:rPr>
              <w:t xml:space="preserve"/>
            </w:r>
          </w:p>
        </w:tc>
      </w:tr>
      <w:tr>
        <w:tc>
          <w:tcPr>
            <w:tcW w:w="3300" w:type="dxa"/>
            <w:shd w:val="clear" w:color="auto" w:fill="F1E9DC"/>
          </w:tcPr>
          <w:p>
            <w:pPr>
              <w:spacing w:after="40"/>
            </w:pPr>
            <w:r>
              <w:rPr>
                <w:b/>
              </w:rPr>
              <w:t xml:space="preserve">Als er iets misgaat</w:t>
            </w:r>
          </w:p>
          <w:p>
            <w:pPr>
              <w:spacing w:after="40"/>
            </w:pPr>
            <w:r>
              <w:rPr>
                <w:color w:val="4A5363"/>
                <w:sz w:val="17"/>
              </w:rPr>
              <w:t xml:space="preserve">Wat meld je, bij wie en hoe snel? Meld liever één keer te veel dan te weinig.</w:t>
            </w:r>
          </w:p>
        </w:tc>
        <w:tc>
          <w:tcPr>
            <w:tcW w:w="5700" w:type="dxa"/>
          </w:tcPr>
          <w:p>
            <w:pPr>
              <w:spacing w:after="40"/>
            </w:pPr>
            <w:r>
              <w:rPr>
                <w:sz w:val="20"/>
              </w:rPr>
              <w:t xml:space="preserve">Meld het dezelfde dag aan: …</w:t>
            </w:r>
          </w:p>
          <w:p>
            <w:pPr>
              <w:spacing w:after="40"/>
            </w:pPr>
            <w:r>
              <w:rPr>
                <w:sz w:val="20"/>
              </w:rPr>
              <w:t xml:space="preserve"/>
            </w:r>
          </w:p>
        </w:tc>
      </w:tr>
      <w:tr>
        <w:tc>
          <w:tcPr>
            <w:tcW w:w="3300" w:type="dxa"/>
            <w:shd w:val="clear" w:color="auto" w:fill="F1E9DC"/>
          </w:tcPr>
          <w:p>
            <w:pPr>
              <w:spacing w:after="40"/>
            </w:pPr>
            <w:r>
              <w:rPr>
                <w:b/>
              </w:rPr>
              <w:t xml:space="preserve">Vastgesteld en herzien</w:t>
            </w:r>
          </w:p>
          <w:p>
            <w:pPr>
              <w:spacing w:after="40"/>
            </w:pPr>
            <w:r>
              <w:rPr>
                <w:color w:val="4A5363"/>
                <w:sz w:val="17"/>
              </w:rPr>
              <w:t xml:space="preserve">Datum, wie het vaststelde en wanneer je het opnieuw bekijkt.</w:t>
            </w:r>
          </w:p>
        </w:tc>
        <w:tc>
          <w:tcPr>
            <w:tcW w:w="5700" w:type="dxa"/>
          </w:tcPr>
          <w:p>
            <w:pPr>
              <w:spacing w:after="40"/>
            </w:pPr>
            <w:r>
              <w:rPr>
                <w:sz w:val="20"/>
              </w:rPr>
              <w:t xml:space="preserve">Vastgesteld op: …   Door: …</w:t>
            </w:r>
          </w:p>
          <w:p>
            <w:pPr>
              <w:spacing w:after="40"/>
            </w:pPr>
            <w:r>
              <w:rPr>
                <w:sz w:val="20"/>
              </w:rPr>
              <w:t xml:space="preserve">Herzien: …</w:t>
            </w:r>
          </w:p>
        </w:tc>
      </w:tr>
    </w:tbl>
    <w:p>
      <w:pPr>
        <w:spacing w:after="40"/>
      </w:pPr>
      <w:r>
        <w:t xml:space="preserve"/>
      </w:r>
    </w:p>
    <w:p>
      <w:pPr>
        <w:spacing w:after="80"/>
      </w:pPr>
      <w:r>
        <w:rPr>
          <w:color w:val="4A5363"/>
          <w:sz w:val="16"/>
        </w:rPr>
        <w:t xml:space="preserve">Sjabloon van Pace8 (pace8.nl/uitleg/ai-beleid-voorbeeld). Vrij te gebruiken en aan te passen. Geen juridisch advies.</w:t>
      </w:r>
    </w:p>
    <w:sectPr>
      <w:pgSz w:w="11906" w:h="16838"/>
      <w:pgMar w:top="1000" w:right="1134" w:bottom="1000" w:left="1134" w:header="567" w:footer="567" w:gutter="0"/>
    </w:sectPr>
  </w:body>
</w:document>
</file>